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24" w:rsidRDefault="006846A5">
      <w:pPr>
        <w:keepNext/>
        <w:tabs>
          <w:tab w:val="center" w:pos="4513"/>
        </w:tabs>
        <w:suppressAutoHyphens/>
        <w:jc w:val="both"/>
        <w:rPr>
          <w:rFonts w:ascii="Arial" w:eastAsia="Arial" w:hAnsi="Arial" w:cs="Arial"/>
          <w:b/>
          <w:spacing w:val="-13"/>
          <w:sz w:val="110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3"/>
          <w:sz w:val="110"/>
        </w:rPr>
        <w:tab/>
        <w:t>PUBLIC NOTICE</w:t>
      </w:r>
    </w:p>
    <w:p w:rsidR="00F44124" w:rsidRDefault="00F44124">
      <w:pPr>
        <w:tabs>
          <w:tab w:val="center" w:pos="4513"/>
        </w:tabs>
        <w:suppressAutoHyphens/>
        <w:jc w:val="both"/>
        <w:rPr>
          <w:rFonts w:ascii="Arial" w:eastAsia="Arial" w:hAnsi="Arial" w:cs="Arial"/>
          <w:b/>
          <w:spacing w:val="-3"/>
          <w:sz w:val="25"/>
        </w:rPr>
      </w:pPr>
    </w:p>
    <w:p w:rsidR="00F44124" w:rsidRDefault="006846A5">
      <w:pPr>
        <w:tabs>
          <w:tab w:val="center" w:pos="4513"/>
        </w:tabs>
        <w:suppressAutoHyphens/>
        <w:jc w:val="both"/>
        <w:rPr>
          <w:rFonts w:ascii="Arial" w:eastAsia="Arial" w:hAnsi="Arial" w:cs="Arial"/>
          <w:b/>
          <w:spacing w:val="-3"/>
          <w:sz w:val="23"/>
          <w:u w:val="single"/>
        </w:rPr>
      </w:pPr>
      <w:r>
        <w:rPr>
          <w:rFonts w:ascii="Arial" w:eastAsia="Arial" w:hAnsi="Arial" w:cs="Arial"/>
          <w:b/>
          <w:spacing w:val="-3"/>
          <w:sz w:val="23"/>
        </w:rPr>
        <w:tab/>
      </w:r>
      <w:r>
        <w:rPr>
          <w:rFonts w:ascii="Arial" w:eastAsia="Arial" w:hAnsi="Arial" w:cs="Arial"/>
          <w:b/>
          <w:spacing w:val="-3"/>
          <w:sz w:val="23"/>
          <w:u w:val="single"/>
        </w:rPr>
        <w:t>ROAD TRAFFIC REGULATION ACT 1984 - SECTION 14 (AS AMENDED)</w:t>
      </w:r>
    </w:p>
    <w:p w:rsidR="00F44124" w:rsidRDefault="00F44124">
      <w:pPr>
        <w:tabs>
          <w:tab w:val="left" w:pos="-720"/>
        </w:tabs>
        <w:suppressAutoHyphens/>
        <w:jc w:val="both"/>
        <w:rPr>
          <w:rFonts w:ascii="Arial" w:eastAsia="Arial" w:hAnsi="Arial" w:cs="Arial"/>
          <w:b/>
          <w:spacing w:val="-3"/>
          <w:sz w:val="23"/>
          <w:u w:val="single"/>
        </w:rPr>
      </w:pPr>
    </w:p>
    <w:p w:rsidR="00F44124" w:rsidRDefault="006846A5">
      <w:pPr>
        <w:tabs>
          <w:tab w:val="left" w:pos="-720"/>
        </w:tabs>
        <w:suppressAutoHyphens/>
        <w:spacing w:before="90"/>
        <w:jc w:val="center"/>
        <w:rPr>
          <w:rFonts w:ascii="Arial" w:eastAsia="Arial" w:hAnsi="Arial" w:cs="Arial"/>
          <w:b/>
          <w:spacing w:val="-3"/>
          <w:sz w:val="23"/>
          <w:u w:val="single"/>
        </w:rPr>
      </w:pPr>
      <w:r>
        <w:rPr>
          <w:rFonts w:ascii="Arial" w:eastAsia="Arial" w:hAnsi="Arial" w:cs="Arial"/>
          <w:b/>
          <w:spacing w:val="-3"/>
          <w:sz w:val="23"/>
          <w:u w:val="single"/>
        </w:rPr>
        <w:t>WORCESTERSHIRE COUNTY COUNCIL</w:t>
      </w:r>
    </w:p>
    <w:p w:rsidR="00F44124" w:rsidRDefault="00F44124">
      <w:pPr>
        <w:tabs>
          <w:tab w:val="left" w:pos="-720"/>
        </w:tabs>
        <w:suppressAutoHyphens/>
        <w:spacing w:before="90"/>
        <w:jc w:val="center"/>
        <w:rPr>
          <w:rFonts w:ascii="Arial" w:eastAsia="Arial" w:hAnsi="Arial" w:cs="Arial"/>
          <w:b/>
          <w:spacing w:val="-3"/>
          <w:sz w:val="23"/>
          <w:u w:val="single"/>
        </w:rPr>
      </w:pPr>
    </w:p>
    <w:p w:rsidR="00F44124" w:rsidRDefault="006846A5">
      <w:pPr>
        <w:tabs>
          <w:tab w:val="left" w:pos="-720"/>
        </w:tabs>
        <w:suppressAutoHyphens/>
        <w:spacing w:before="90"/>
        <w:jc w:val="center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b/>
          <w:spacing w:val="-3"/>
          <w:sz w:val="23"/>
          <w:u w:val="single"/>
        </w:rPr>
        <w:t xml:space="preserve">NOTICE OF THE CLOSURE OF </w:t>
      </w:r>
      <w:r w:rsidR="00AB005C">
        <w:rPr>
          <w:rFonts w:ascii="Arial" w:eastAsia="Arial" w:hAnsi="Arial" w:cs="Arial"/>
          <w:b/>
          <w:spacing w:val="-3"/>
          <w:sz w:val="23"/>
          <w:u w:val="single"/>
        </w:rPr>
        <w:t xml:space="preserve">C2078 </w:t>
      </w:r>
      <w:r>
        <w:rPr>
          <w:rFonts w:ascii="Arial" w:eastAsia="Arial" w:hAnsi="Arial" w:cs="Arial"/>
          <w:b/>
          <w:spacing w:val="-3"/>
          <w:sz w:val="23"/>
          <w:u w:val="single"/>
        </w:rPr>
        <w:t>BROU</w:t>
      </w:r>
      <w:r w:rsidR="00AB005C">
        <w:rPr>
          <w:rFonts w:ascii="Arial" w:eastAsia="Arial" w:hAnsi="Arial" w:cs="Arial"/>
          <w:b/>
          <w:spacing w:val="-3"/>
          <w:sz w:val="23"/>
          <w:u w:val="single"/>
        </w:rPr>
        <w:t>GHTON HACKETT TO CROWLE, CROWLE</w:t>
      </w:r>
      <w:r>
        <w:rPr>
          <w:rFonts w:ascii="Arial" w:eastAsia="Arial" w:hAnsi="Arial" w:cs="Arial"/>
          <w:b/>
          <w:spacing w:val="-3"/>
          <w:sz w:val="23"/>
          <w:u w:val="single"/>
        </w:rPr>
        <w:t>, WORCESTERSHIRE ("THE HIGHWAY")</w:t>
      </w:r>
    </w:p>
    <w:p w:rsidR="00F44124" w:rsidRDefault="00F44124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</w:p>
    <w:p w:rsidR="00F44124" w:rsidRDefault="006846A5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spacing w:val="-3"/>
          <w:sz w:val="23"/>
        </w:rPr>
        <w:t xml:space="preserve">Reason for restriction: </w:t>
      </w:r>
      <w:r w:rsidRPr="004E0C2D">
        <w:rPr>
          <w:rFonts w:ascii="Arial" w:eastAsia="Arial" w:hAnsi="Arial" w:cs="Arial"/>
          <w:spacing w:val="-3"/>
          <w:sz w:val="23"/>
        </w:rPr>
        <w:t>Carriageway Resurfacing</w:t>
      </w:r>
      <w:r>
        <w:rPr>
          <w:rFonts w:ascii="Arial" w:eastAsia="Arial" w:hAnsi="Arial" w:cs="Arial"/>
          <w:b/>
          <w:spacing w:val="-3"/>
          <w:sz w:val="23"/>
        </w:rPr>
        <w:t xml:space="preserve">.  </w:t>
      </w:r>
      <w:r>
        <w:rPr>
          <w:rFonts w:ascii="Arial" w:eastAsia="Arial" w:hAnsi="Arial" w:cs="Arial"/>
          <w:spacing w:val="-3"/>
          <w:sz w:val="23"/>
        </w:rPr>
        <w:t>There is a need to close the highway in the following terms:-</w:t>
      </w:r>
    </w:p>
    <w:p w:rsidR="00F44124" w:rsidRDefault="00F44124">
      <w:pPr>
        <w:tabs>
          <w:tab w:val="left" w:pos="-720"/>
        </w:tabs>
        <w:suppressAutoHyphens/>
        <w:jc w:val="both"/>
        <w:rPr>
          <w:rFonts w:ascii="Arial" w:eastAsia="Arial" w:hAnsi="Arial" w:cs="Arial"/>
          <w:b/>
          <w:spacing w:val="-3"/>
          <w:sz w:val="23"/>
        </w:rPr>
      </w:pPr>
    </w:p>
    <w:p w:rsidR="00F44124" w:rsidRDefault="006846A5">
      <w:pPr>
        <w:numPr>
          <w:ilvl w:val="0"/>
          <w:numId w:val="1"/>
        </w:numPr>
        <w:suppressAutoHyphens/>
        <w:ind w:left="720" w:hanging="360"/>
        <w:jc w:val="both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spacing w:val="-3"/>
          <w:sz w:val="23"/>
        </w:rPr>
        <w:t xml:space="preserve">The effect of this Notice is that no vehicle shall proceed along that part of the highway from its junction with </w:t>
      </w:r>
      <w:r w:rsidRPr="004E0C2D">
        <w:rPr>
          <w:rFonts w:ascii="Arial" w:eastAsia="Arial" w:hAnsi="Arial" w:cs="Arial"/>
          <w:spacing w:val="-3"/>
          <w:sz w:val="23"/>
        </w:rPr>
        <w:t xml:space="preserve">U42408 Bredicot Lane </w:t>
      </w:r>
      <w:r w:rsidR="00AB005C">
        <w:rPr>
          <w:rFonts w:ascii="Arial" w:eastAsia="Arial" w:hAnsi="Arial" w:cs="Arial"/>
          <w:spacing w:val="-3"/>
          <w:sz w:val="23"/>
        </w:rPr>
        <w:t>for a d</w:t>
      </w:r>
      <w:r w:rsidRPr="004E0C2D">
        <w:rPr>
          <w:rFonts w:ascii="Arial" w:eastAsia="Arial" w:hAnsi="Arial" w:cs="Arial"/>
          <w:spacing w:val="-3"/>
          <w:sz w:val="23"/>
        </w:rPr>
        <w:t>istance of 350</w:t>
      </w:r>
      <w:r w:rsidR="00AB005C">
        <w:rPr>
          <w:rFonts w:ascii="Arial" w:eastAsia="Arial" w:hAnsi="Arial" w:cs="Arial"/>
          <w:spacing w:val="-3"/>
          <w:sz w:val="23"/>
        </w:rPr>
        <w:t xml:space="preserve"> </w:t>
      </w:r>
      <w:r w:rsidRPr="004E0C2D">
        <w:rPr>
          <w:rFonts w:ascii="Arial" w:eastAsia="Arial" w:hAnsi="Arial" w:cs="Arial"/>
          <w:spacing w:val="-3"/>
          <w:sz w:val="23"/>
        </w:rPr>
        <w:t>m</w:t>
      </w:r>
      <w:r w:rsidR="00AB005C">
        <w:rPr>
          <w:rFonts w:ascii="Arial" w:eastAsia="Arial" w:hAnsi="Arial" w:cs="Arial"/>
          <w:spacing w:val="-3"/>
          <w:sz w:val="23"/>
        </w:rPr>
        <w:t>etres</w:t>
      </w:r>
      <w:r w:rsidRPr="004E0C2D">
        <w:rPr>
          <w:rFonts w:ascii="Arial" w:eastAsia="Arial" w:hAnsi="Arial" w:cs="Arial"/>
          <w:spacing w:val="-3"/>
          <w:sz w:val="23"/>
        </w:rPr>
        <w:t xml:space="preserve"> </w:t>
      </w:r>
      <w:r w:rsidR="00AB005C">
        <w:rPr>
          <w:rFonts w:ascii="Arial" w:eastAsia="Arial" w:hAnsi="Arial" w:cs="Arial"/>
          <w:spacing w:val="-3"/>
          <w:sz w:val="23"/>
        </w:rPr>
        <w:t xml:space="preserve">in a southerly direction. </w:t>
      </w:r>
    </w:p>
    <w:p w:rsidR="00F44124" w:rsidRDefault="00F44124">
      <w:pPr>
        <w:suppressAutoHyphens/>
        <w:ind w:left="720"/>
        <w:jc w:val="both"/>
        <w:rPr>
          <w:rFonts w:ascii="Arial" w:eastAsia="Arial" w:hAnsi="Arial" w:cs="Arial"/>
          <w:spacing w:val="-3"/>
          <w:sz w:val="23"/>
        </w:rPr>
      </w:pPr>
    </w:p>
    <w:p w:rsidR="00F44124" w:rsidRDefault="006846A5" w:rsidP="00124B7C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 w:hanging="360"/>
        <w:jc w:val="both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spacing w:val="-3"/>
          <w:sz w:val="23"/>
        </w:rPr>
        <w:t xml:space="preserve">This provision shall continue in force for a maximum of 5 days, however, it is anticipated that it will remain in force for </w:t>
      </w:r>
      <w:r w:rsidR="00AB005C">
        <w:rPr>
          <w:rFonts w:ascii="Arial" w:eastAsia="Arial" w:hAnsi="Arial" w:cs="Arial"/>
          <w:spacing w:val="-3"/>
          <w:sz w:val="23"/>
        </w:rPr>
        <w:t>4 d</w:t>
      </w:r>
      <w:r w:rsidRPr="004E0C2D">
        <w:rPr>
          <w:rFonts w:ascii="Arial" w:eastAsia="Arial" w:hAnsi="Arial" w:cs="Arial"/>
          <w:spacing w:val="-3"/>
          <w:sz w:val="23"/>
        </w:rPr>
        <w:t>ays</w:t>
      </w:r>
      <w:r>
        <w:rPr>
          <w:rFonts w:ascii="Arial" w:eastAsia="Arial" w:hAnsi="Arial" w:cs="Arial"/>
          <w:b/>
          <w:spacing w:val="-3"/>
          <w:sz w:val="23"/>
        </w:rPr>
        <w:t xml:space="preserve"> </w:t>
      </w:r>
      <w:r>
        <w:rPr>
          <w:rFonts w:ascii="Arial" w:eastAsia="Arial" w:hAnsi="Arial" w:cs="Arial"/>
          <w:spacing w:val="-3"/>
          <w:sz w:val="23"/>
        </w:rPr>
        <w:t xml:space="preserve">commencing </w:t>
      </w:r>
      <w:r w:rsidRPr="004E0C2D">
        <w:rPr>
          <w:rFonts w:ascii="Arial" w:eastAsia="Arial" w:hAnsi="Arial" w:cs="Arial"/>
          <w:spacing w:val="-3"/>
          <w:sz w:val="23"/>
        </w:rPr>
        <w:t>23 April 2019.</w:t>
      </w:r>
    </w:p>
    <w:p w:rsidR="00F44124" w:rsidRDefault="00F44124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eastAsia="Arial" w:hAnsi="Arial" w:cs="Arial"/>
          <w:b/>
          <w:spacing w:val="-3"/>
          <w:sz w:val="23"/>
        </w:rPr>
      </w:pPr>
    </w:p>
    <w:p w:rsidR="00F44124" w:rsidRDefault="006846A5" w:rsidP="00AB005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spacing w:val="-3"/>
          <w:sz w:val="23"/>
        </w:rPr>
        <w:t xml:space="preserve">Alternative routes: - </w:t>
      </w:r>
      <w:r w:rsidRPr="004E0C2D">
        <w:rPr>
          <w:rFonts w:ascii="Arial" w:eastAsia="Arial" w:hAnsi="Arial" w:cs="Arial"/>
          <w:spacing w:val="-3"/>
          <w:sz w:val="23"/>
        </w:rPr>
        <w:t>C2078 Broughton Hackett to Crowle</w:t>
      </w:r>
      <w:r w:rsidR="00AB005C">
        <w:rPr>
          <w:rFonts w:ascii="Arial" w:eastAsia="Arial" w:hAnsi="Arial" w:cs="Arial"/>
          <w:spacing w:val="-3"/>
          <w:sz w:val="23"/>
        </w:rPr>
        <w:t xml:space="preserve">, </w:t>
      </w:r>
      <w:r w:rsidRPr="004E0C2D">
        <w:rPr>
          <w:rFonts w:ascii="Arial" w:eastAsia="Arial" w:hAnsi="Arial" w:cs="Arial"/>
          <w:spacing w:val="-3"/>
          <w:sz w:val="23"/>
        </w:rPr>
        <w:t>A422 Broughton Hackett to Upton Snodsbury</w:t>
      </w:r>
      <w:r w:rsidR="00AB005C">
        <w:rPr>
          <w:rFonts w:ascii="Arial" w:eastAsia="Arial" w:hAnsi="Arial" w:cs="Arial"/>
          <w:spacing w:val="-3"/>
          <w:sz w:val="23"/>
        </w:rPr>
        <w:t xml:space="preserve">, A422 Alcester Road, </w:t>
      </w:r>
      <w:r w:rsidRPr="004E0C2D">
        <w:rPr>
          <w:rFonts w:ascii="Arial" w:eastAsia="Arial" w:hAnsi="Arial" w:cs="Arial"/>
          <w:spacing w:val="-3"/>
          <w:sz w:val="23"/>
        </w:rPr>
        <w:t>A4538 Pershore Lane</w:t>
      </w:r>
      <w:r w:rsidR="00AB005C">
        <w:rPr>
          <w:rFonts w:ascii="Arial" w:eastAsia="Arial" w:hAnsi="Arial" w:cs="Arial"/>
          <w:spacing w:val="-3"/>
          <w:sz w:val="23"/>
        </w:rPr>
        <w:t xml:space="preserve">, U42407 Bredicot Village Road, </w:t>
      </w:r>
      <w:r w:rsidRPr="004E0C2D">
        <w:rPr>
          <w:rFonts w:ascii="Arial" w:eastAsia="Arial" w:hAnsi="Arial" w:cs="Arial"/>
          <w:spacing w:val="-3"/>
          <w:sz w:val="23"/>
        </w:rPr>
        <w:t xml:space="preserve">U42408 Bredicot Lane </w:t>
      </w:r>
      <w:r>
        <w:rPr>
          <w:rFonts w:ascii="Arial" w:eastAsia="Arial" w:hAnsi="Arial" w:cs="Arial"/>
          <w:spacing w:val="-3"/>
          <w:sz w:val="23"/>
        </w:rPr>
        <w:t xml:space="preserve">and vice versa. </w:t>
      </w:r>
    </w:p>
    <w:p w:rsidR="00F44124" w:rsidRDefault="00F44124">
      <w:pPr>
        <w:ind w:left="720" w:hanging="720"/>
        <w:rPr>
          <w:rFonts w:ascii="Arial" w:eastAsia="Arial" w:hAnsi="Arial" w:cs="Arial"/>
          <w:sz w:val="23"/>
        </w:rPr>
      </w:pPr>
    </w:p>
    <w:p w:rsidR="00F44124" w:rsidRDefault="006846A5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spacing w:val="-3"/>
          <w:sz w:val="23"/>
        </w:rPr>
        <w:t xml:space="preserve">Nothing in this Notice shall prevent at any time access for pedestrians to any premises situated on or adjacent to the </w:t>
      </w:r>
      <w:proofErr w:type="gramStart"/>
      <w:r>
        <w:rPr>
          <w:rFonts w:ascii="Arial" w:eastAsia="Arial" w:hAnsi="Arial" w:cs="Arial"/>
          <w:spacing w:val="-3"/>
          <w:sz w:val="23"/>
        </w:rPr>
        <w:t>highway,</w:t>
      </w:r>
      <w:proofErr w:type="gramEnd"/>
      <w:r>
        <w:rPr>
          <w:rFonts w:ascii="Arial" w:eastAsia="Arial" w:hAnsi="Arial" w:cs="Arial"/>
          <w:spacing w:val="-3"/>
          <w:sz w:val="23"/>
        </w:rPr>
        <w:t xml:space="preserve"> or to any other premises accessible for pedestrians from and only from the highway.</w:t>
      </w:r>
    </w:p>
    <w:p w:rsidR="00F44124" w:rsidRDefault="00F44124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</w:p>
    <w:p w:rsidR="00F44124" w:rsidRDefault="00F44124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</w:p>
    <w:p w:rsidR="00F44124" w:rsidRDefault="00F44124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</w:p>
    <w:p w:rsidR="00F44124" w:rsidRDefault="00F44124">
      <w:pPr>
        <w:tabs>
          <w:tab w:val="left" w:pos="-720"/>
        </w:tabs>
        <w:suppressAutoHyphens/>
        <w:jc w:val="center"/>
        <w:rPr>
          <w:rFonts w:ascii="Arial" w:eastAsia="Arial" w:hAnsi="Arial" w:cs="Arial"/>
          <w:spacing w:val="-3"/>
          <w:sz w:val="23"/>
        </w:rPr>
      </w:pPr>
    </w:p>
    <w:p w:rsidR="006846A5" w:rsidRPr="004E0C2D" w:rsidRDefault="006846A5" w:rsidP="006846A5">
      <w:pPr>
        <w:tabs>
          <w:tab w:val="left" w:pos="-1440"/>
          <w:tab w:val="left" w:pos="-720"/>
          <w:tab w:val="left" w:pos="1440"/>
        </w:tabs>
        <w:suppressAutoHyphens/>
        <w:jc w:val="center"/>
        <w:rPr>
          <w:rFonts w:ascii="Arial" w:eastAsia="Arial" w:hAnsi="Arial" w:cs="Arial"/>
          <w:spacing w:val="-3"/>
          <w:sz w:val="23"/>
        </w:rPr>
      </w:pPr>
      <w:r w:rsidRPr="004E0C2D">
        <w:rPr>
          <w:rFonts w:ascii="Arial" w:eastAsia="Arial" w:hAnsi="Arial" w:cs="Arial"/>
          <w:spacing w:val="-3"/>
          <w:sz w:val="23"/>
        </w:rPr>
        <w:t>SIMON MALLINSON</w:t>
      </w:r>
    </w:p>
    <w:p w:rsidR="006846A5" w:rsidRPr="004E0C2D" w:rsidRDefault="006846A5" w:rsidP="006846A5">
      <w:pPr>
        <w:tabs>
          <w:tab w:val="left" w:pos="-1440"/>
          <w:tab w:val="left" w:pos="-720"/>
          <w:tab w:val="left" w:pos="1440"/>
        </w:tabs>
        <w:suppressAutoHyphens/>
        <w:jc w:val="center"/>
        <w:rPr>
          <w:rFonts w:ascii="Arial" w:eastAsia="Arial" w:hAnsi="Arial" w:cs="Arial"/>
          <w:spacing w:val="-3"/>
          <w:sz w:val="23"/>
        </w:rPr>
      </w:pPr>
      <w:r w:rsidRPr="004E0C2D">
        <w:rPr>
          <w:rFonts w:ascii="Arial" w:eastAsia="Arial" w:hAnsi="Arial" w:cs="Arial"/>
          <w:spacing w:val="-3"/>
          <w:sz w:val="23"/>
        </w:rPr>
        <w:t>Head of Legal and Democratic Services</w:t>
      </w:r>
    </w:p>
    <w:p w:rsidR="00F44124" w:rsidRDefault="00F44124">
      <w:pPr>
        <w:tabs>
          <w:tab w:val="left" w:pos="-1440"/>
          <w:tab w:val="left" w:pos="-720"/>
          <w:tab w:val="left" w:pos="144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</w:p>
    <w:p w:rsidR="00F44124" w:rsidRDefault="006846A5">
      <w:pPr>
        <w:tabs>
          <w:tab w:val="left" w:pos="-1440"/>
          <w:tab w:val="left" w:pos="-720"/>
          <w:tab w:val="left" w:pos="1440"/>
        </w:tabs>
        <w:suppressAutoHyphens/>
        <w:jc w:val="both"/>
        <w:rPr>
          <w:rFonts w:ascii="Arial" w:eastAsia="Arial" w:hAnsi="Arial" w:cs="Arial"/>
          <w:spacing w:val="-3"/>
          <w:sz w:val="23"/>
        </w:rPr>
      </w:pPr>
      <w:r>
        <w:rPr>
          <w:rFonts w:ascii="Arial" w:eastAsia="Arial" w:hAnsi="Arial" w:cs="Arial"/>
          <w:spacing w:val="-3"/>
          <w:sz w:val="23"/>
        </w:rPr>
        <w:t xml:space="preserve">Date </w:t>
      </w:r>
      <w:r w:rsidR="00AB005C">
        <w:rPr>
          <w:rFonts w:ascii="Arial" w:eastAsia="Arial" w:hAnsi="Arial" w:cs="Arial"/>
          <w:spacing w:val="-3"/>
          <w:sz w:val="23"/>
        </w:rPr>
        <w:t>26 March 2019</w:t>
      </w:r>
    </w:p>
    <w:p w:rsidR="00F44124" w:rsidRDefault="00F44124">
      <w:pPr>
        <w:jc w:val="center"/>
        <w:rPr>
          <w:rFonts w:ascii="Times New Roman" w:eastAsia="Times New Roman" w:hAnsi="Times New Roman" w:cs="Times New Roman"/>
          <w:spacing w:val="-2"/>
        </w:rPr>
      </w:pPr>
    </w:p>
    <w:p w:rsidR="00F44124" w:rsidRDefault="00F44124">
      <w:pPr>
        <w:tabs>
          <w:tab w:val="left" w:pos="-1440"/>
          <w:tab w:val="left" w:pos="-720"/>
          <w:tab w:val="left" w:pos="450"/>
          <w:tab w:val="left" w:pos="720"/>
          <w:tab w:val="left" w:pos="1440"/>
        </w:tabs>
        <w:suppressAutoHyphens/>
        <w:jc w:val="both"/>
        <w:rPr>
          <w:rFonts w:ascii="Arial" w:eastAsia="Arial" w:hAnsi="Arial" w:cs="Arial"/>
          <w:b/>
        </w:rPr>
      </w:pPr>
    </w:p>
    <w:p w:rsidR="00F44124" w:rsidRDefault="00F44124">
      <w:pPr>
        <w:tabs>
          <w:tab w:val="left" w:pos="-1440"/>
          <w:tab w:val="left" w:pos="-720"/>
          <w:tab w:val="left" w:pos="450"/>
          <w:tab w:val="left" w:pos="720"/>
          <w:tab w:val="left" w:pos="1440"/>
        </w:tabs>
        <w:suppressAutoHyphens/>
        <w:jc w:val="both"/>
        <w:rPr>
          <w:rFonts w:ascii="Arial" w:eastAsia="Arial" w:hAnsi="Arial" w:cs="Arial"/>
          <w:b/>
        </w:rPr>
      </w:pPr>
    </w:p>
    <w:p w:rsidR="00F44124" w:rsidRDefault="00F44124">
      <w:pPr>
        <w:tabs>
          <w:tab w:val="left" w:pos="-1440"/>
          <w:tab w:val="left" w:pos="-720"/>
          <w:tab w:val="left" w:pos="450"/>
          <w:tab w:val="left" w:pos="720"/>
          <w:tab w:val="left" w:pos="1440"/>
        </w:tabs>
        <w:suppressAutoHyphens/>
        <w:jc w:val="both"/>
        <w:rPr>
          <w:rFonts w:ascii="Arial" w:eastAsia="Arial" w:hAnsi="Arial" w:cs="Arial"/>
          <w:b/>
        </w:rPr>
      </w:pPr>
    </w:p>
    <w:p w:rsidR="00F44124" w:rsidRDefault="00912C1A">
      <w:pPr>
        <w:tabs>
          <w:tab w:val="left" w:pos="-1440"/>
          <w:tab w:val="left" w:pos="-720"/>
          <w:tab w:val="left" w:pos="450"/>
          <w:tab w:val="left" w:pos="720"/>
          <w:tab w:val="left" w:pos="1440"/>
        </w:tabs>
        <w:suppressAutoHyphens/>
        <w:jc w:val="center"/>
        <w:rPr>
          <w:rFonts w:ascii="Arial" w:eastAsia="Arial" w:hAnsi="Arial" w:cs="Arial"/>
          <w:spacing w:val="-3"/>
          <w:sz w:val="24"/>
        </w:rPr>
      </w:pPr>
      <w:r>
        <w:rPr>
          <w:noProof/>
        </w:rPr>
        <w:drawing>
          <wp:inline distT="0" distB="0" distL="0" distR="0">
            <wp:extent cx="2188845" cy="457200"/>
            <wp:effectExtent l="0" t="0" r="190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40"/>
    <w:multiLevelType w:val="multilevel"/>
    <w:tmpl w:val="3BF6CD5C"/>
    <w:lvl w:ilvl="0">
      <w:start w:val="1"/>
      <w:numFmt w:val="decimal"/>
      <w:lvlText w:val="%1."/>
      <w:lvlJc w:val="left"/>
    </w:lvl>
    <w:lvl w:ilvl="1">
      <w:numFmt w:val="decimal"/>
      <w:lvlText w:val="%1."/>
      <w:lvlJc w:val="left"/>
    </w:lvl>
    <w:lvl w:ilvl="2">
      <w:numFmt w:val="decimal"/>
      <w:lvlText w:val="%1."/>
      <w:lvlJc w:val="left"/>
    </w:lvl>
    <w:lvl w:ilvl="3">
      <w:numFmt w:val="decimal"/>
      <w:lvlText w:val="%1."/>
      <w:lvlJc w:val="left"/>
    </w:lvl>
    <w:lvl w:ilvl="4">
      <w:numFmt w:val="decimal"/>
      <w:lvlText w:val="%1."/>
      <w:lvlJc w:val="left"/>
    </w:lvl>
    <w:lvl w:ilvl="5">
      <w:numFmt w:val="decimal"/>
      <w:lvlText w:val="%1."/>
      <w:lvlJc w:val="left"/>
    </w:lvl>
    <w:lvl w:ilvl="6">
      <w:numFmt w:val="decimal"/>
      <w:lvlText w:val="%1."/>
      <w:lvlJc w:val="left"/>
    </w:lvl>
    <w:lvl w:ilvl="7">
      <w:numFmt w:val="decimal"/>
      <w:lvlText w:val="%1."/>
      <w:lvlJc w:val="left"/>
    </w:lvl>
    <w:lvl w:ilvl="8">
      <w:numFmt w:val="decimal"/>
      <w:lvlText w:val="%1."/>
      <w:lvlJc w:val="left"/>
    </w:lvl>
  </w:abstractNum>
  <w:abstractNum w:abstractNumId="1">
    <w:nsid w:val="482C01A5"/>
    <w:multiLevelType w:val="multilevel"/>
    <w:tmpl w:val="3BF6CD5C"/>
    <w:lvl w:ilvl="0">
      <w:start w:val="1"/>
      <w:numFmt w:val="decimal"/>
      <w:lvlText w:val="%1."/>
      <w:lvlJc w:val="left"/>
    </w:lvl>
    <w:lvl w:ilvl="1">
      <w:numFmt w:val="decimal"/>
      <w:lvlText w:val="%1."/>
      <w:lvlJc w:val="left"/>
    </w:lvl>
    <w:lvl w:ilvl="2">
      <w:numFmt w:val="decimal"/>
      <w:lvlText w:val="%1."/>
      <w:lvlJc w:val="left"/>
    </w:lvl>
    <w:lvl w:ilvl="3">
      <w:numFmt w:val="decimal"/>
      <w:lvlText w:val="%1."/>
      <w:lvlJc w:val="left"/>
    </w:lvl>
    <w:lvl w:ilvl="4">
      <w:numFmt w:val="decimal"/>
      <w:lvlText w:val="%1."/>
      <w:lvlJc w:val="left"/>
    </w:lvl>
    <w:lvl w:ilvl="5">
      <w:numFmt w:val="decimal"/>
      <w:lvlText w:val="%1."/>
      <w:lvlJc w:val="left"/>
    </w:lvl>
    <w:lvl w:ilvl="6">
      <w:numFmt w:val="decimal"/>
      <w:lvlText w:val="%1."/>
      <w:lvlJc w:val="left"/>
    </w:lvl>
    <w:lvl w:ilvl="7">
      <w:numFmt w:val="decimal"/>
      <w:lvlText w:val="%1."/>
      <w:lvlJc w:val="left"/>
    </w:lvl>
    <w:lvl w:ilvl="8">
      <w:numFmt w:val="decimal"/>
      <w:lvlText w:val="%1."/>
      <w:lvlJc w:val="left"/>
    </w:lvl>
  </w:abstractNum>
  <w:abstractNum w:abstractNumId="2">
    <w:nsid w:val="55DA6549"/>
    <w:multiLevelType w:val="multilevel"/>
    <w:tmpl w:val="3BF6CD5C"/>
    <w:lvl w:ilvl="0">
      <w:start w:val="1"/>
      <w:numFmt w:val="decimal"/>
      <w:lvlText w:val="%1."/>
      <w:lvlJc w:val="left"/>
    </w:lvl>
    <w:lvl w:ilvl="1">
      <w:numFmt w:val="decimal"/>
      <w:lvlText w:val="%1."/>
      <w:lvlJc w:val="left"/>
    </w:lvl>
    <w:lvl w:ilvl="2">
      <w:numFmt w:val="decimal"/>
      <w:lvlText w:val="%1."/>
      <w:lvlJc w:val="left"/>
    </w:lvl>
    <w:lvl w:ilvl="3">
      <w:numFmt w:val="decimal"/>
      <w:lvlText w:val="%1."/>
      <w:lvlJc w:val="left"/>
    </w:lvl>
    <w:lvl w:ilvl="4">
      <w:numFmt w:val="decimal"/>
      <w:lvlText w:val="%1."/>
      <w:lvlJc w:val="left"/>
    </w:lvl>
    <w:lvl w:ilvl="5">
      <w:numFmt w:val="decimal"/>
      <w:lvlText w:val="%1."/>
      <w:lvlJc w:val="left"/>
    </w:lvl>
    <w:lvl w:ilvl="6">
      <w:numFmt w:val="decimal"/>
      <w:lvlText w:val="%1."/>
      <w:lvlJc w:val="left"/>
    </w:lvl>
    <w:lvl w:ilvl="7">
      <w:numFmt w:val="decimal"/>
      <w:lvlText w:val="%1."/>
      <w:lvlJc w:val="left"/>
    </w:lvl>
    <w:lvl w:ilvl="8"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4"/>
    <w:rsid w:val="00124B7C"/>
    <w:rsid w:val="004E0C2D"/>
    <w:rsid w:val="006846A5"/>
    <w:rsid w:val="00912C1A"/>
    <w:rsid w:val="00AB005C"/>
    <w:rsid w:val="00F44124"/>
    <w:rsid w:val="00F77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Thick, Sarah</dc:creator>
  <cp:lastModifiedBy>Marlowclark</cp:lastModifiedBy>
  <cp:revision>2</cp:revision>
  <dcterms:created xsi:type="dcterms:W3CDTF">2019-04-01T10:55:00Z</dcterms:created>
  <dcterms:modified xsi:type="dcterms:W3CDTF">2019-04-01T10:55:00Z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